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F4B3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Calibri"/>
          <w:noProof w:val="0"/>
          <w:lang w:val="en-US"/>
        </w:rPr>
      </w:pPr>
    </w:p>
    <w:p w14:paraId="0D547031" w14:textId="1ED6C2C3" w:rsidR="00FF3974" w:rsidRPr="002B39E3" w:rsidRDefault="002B39E3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color="181818"/>
          <w:lang w:val="en-US"/>
        </w:rPr>
      </w:pPr>
      <w:r w:rsidRPr="002B39E3">
        <w:rPr>
          <w:rFonts w:ascii="Calibri" w:hAnsi="Calibri" w:cs="Helvetica"/>
          <w:b/>
          <w:bCs/>
          <w:noProof w:val="0"/>
          <w:color w:val="181818"/>
          <w:u w:color="181818"/>
          <w:lang w:val="en-US"/>
        </w:rPr>
        <w:t>BREXIT POLICY ROUND-UP AUGUST 2018</w:t>
      </w:r>
    </w:p>
    <w:p w14:paraId="7B60B055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4759B759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The Future Relationship Between the United Kingdom and the European Union</w:t>
      </w:r>
    </w:p>
    <w:p w14:paraId="57DB9E95" w14:textId="0E4B93B2" w:rsidR="00FF3974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 On 6th August, LGiU published a</w:t>
      </w:r>
      <w:r w:rsidR="002B39E3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briefing 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analysing and summarising the government’s </w:t>
      </w:r>
      <w:hyperlink r:id="rId5" w:history="1">
        <w:r w:rsidRPr="002B39E3">
          <w:rPr>
            <w:rStyle w:val="Hyperlink"/>
            <w:rFonts w:ascii="Calibri" w:hAnsi="Calibri" w:cs="Helvetica"/>
            <w:noProof w:val="0"/>
            <w:u w:color="2699D7"/>
            <w:lang w:val="en-US"/>
          </w:rPr>
          <w:t>Brexit white paper</w:t>
        </w:r>
        <w:r w:rsidRPr="002B39E3">
          <w:rPr>
            <w:rStyle w:val="Hyperlink"/>
            <w:rFonts w:ascii="Calibri" w:hAnsi="Calibri" w:cs="Helvetica"/>
            <w:noProof w:val="0"/>
            <w:u w:color="181818"/>
            <w:lang w:val="en-US"/>
          </w:rPr>
          <w:t>.</w:t>
        </w:r>
      </w:hyperlink>
    </w:p>
    <w:p w14:paraId="1F5F9E63" w14:textId="77777777" w:rsidR="00B83167" w:rsidRP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</w:p>
    <w:p w14:paraId="2FFA6558" w14:textId="77777777" w:rsidR="002B39E3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  <w:r w:rsidR="00FF3974"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How to prepare if the UK leaves the EU with no deal</w:t>
      </w:r>
      <w:r w:rsidR="00FF3974"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324BF0CA" w14:textId="6CD55BD5" w:rsidR="00FF3974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23rd August, government departments coordinated by DExEU published </w:t>
      </w:r>
      <w:hyperlink r:id="rId6" w:history="1">
        <w:r w:rsidRPr="002B39E3">
          <w:rPr>
            <w:rStyle w:val="Hyperlink"/>
            <w:rFonts w:ascii="Calibri" w:hAnsi="Calibri" w:cs="Helvetica"/>
            <w:noProof w:val="0"/>
            <w:u w:color="2699D7"/>
            <w:lang w:val="en-US"/>
          </w:rPr>
          <w:t>25 documents</w:t>
        </w:r>
        <w:r w:rsidRPr="002B39E3">
          <w:rPr>
            <w:rStyle w:val="Hyperlink"/>
            <w:rFonts w:ascii="Calibri" w:hAnsi="Calibri" w:cs="Helvetica"/>
            <w:noProof w:val="0"/>
            <w:u w:color="181818"/>
            <w:lang w:val="en-US"/>
          </w:rPr>
          <w:t xml:space="preserve"> 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providing guidance on how to prepare for Brexit if there's no deal. These technical notes cover: applying for EU-funded programmes; civil nuclear and nuclear research; farming; importing and exporting; labelling products; money and tax; regulating medicines and medical equipment; state aid; studying in the UK or EU; and workplace rights.  </w:t>
      </w:r>
    </w:p>
    <w:p w14:paraId="26615166" w14:textId="77777777" w:rsidR="00B83167" w:rsidRP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</w:p>
    <w:p w14:paraId="7E7C6BA0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EU Settlement Scheme: employer toolkit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0639D476" w14:textId="3431FFD6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25th July, the Home Office and UKVI published a </w:t>
      </w:r>
      <w:hyperlink r:id="rId7" w:history="1"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toolkit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for employers to enable them to support EU citizens and their families with information on the EU Settlement Scheme. The toolkit contains leaflets, posters and a briefing pack to help employers across the UK communicate clear and consistent messages about the EU Settlement Scheme.</w:t>
      </w:r>
    </w:p>
    <w:p w14:paraId="739865BE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388410AD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No Deal and Local Government</w:t>
      </w:r>
    </w:p>
    <w:p w14:paraId="3D8090FE" w14:textId="230ADC7A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17th August, the LGA published a </w:t>
      </w:r>
      <w:hyperlink r:id="rId8" w:history="1">
        <w:r w:rsidRPr="002B39E3">
          <w:rPr>
            <w:rStyle w:val="Hyperlink"/>
            <w:rFonts w:ascii="Calibri" w:hAnsi="Calibri" w:cs="Helvetica"/>
            <w:noProof w:val="0"/>
            <w:u w:color="2699D7"/>
            <w:lang w:val="en-US"/>
          </w:rPr>
          <w:t>briefing</w:t>
        </w:r>
        <w:r w:rsidRPr="002B39E3">
          <w:rPr>
            <w:rStyle w:val="Hyperlink"/>
            <w:rFonts w:ascii="Calibri" w:hAnsi="Calibri" w:cs="Helvetica"/>
            <w:noProof w:val="0"/>
            <w:u w:color="181818"/>
            <w:lang w:val="en-US"/>
          </w:rPr>
          <w:t> 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offering the headline issues for local government under a ‘no deal’ scenario and advising Government on the key issues that would need to be addressed through national action.  </w:t>
      </w:r>
    </w:p>
    <w:p w14:paraId="08473971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2F735D5F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The status of "retained EU Law"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77D1DDA0" w14:textId="7049F5FE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31st July, the House of Commons Library published a </w:t>
      </w:r>
      <w:hyperlink r:id="rId9" w:history="1"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briefing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looking at the status of ‘retained EU law’ post Brexit, who can change it and how.   </w:t>
      </w:r>
    </w:p>
    <w:p w14:paraId="49303457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5954D920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Policy options for future migration from the European Economic Area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271A9391" w14:textId="74ADFBB1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31st July, the Home Affairs Select Committee published a </w:t>
      </w:r>
      <w:hyperlink r:id="rId10" w:history="1">
        <w:r w:rsidRPr="002B39E3">
          <w:rPr>
            <w:rStyle w:val="Hyperlink"/>
            <w:rFonts w:ascii="Calibri" w:hAnsi="Calibri" w:cs="Helvetica"/>
            <w:noProof w:val="0"/>
            <w:u w:color="2699D7"/>
            <w:lang w:val="en-US"/>
          </w:rPr>
          <w:t>report</w:t>
        </w:r>
        <w:r w:rsidRPr="002B39E3">
          <w:rPr>
            <w:rStyle w:val="Hyperlink"/>
            <w:rFonts w:ascii="Calibri" w:hAnsi="Calibri" w:cs="Helvetica"/>
            <w:noProof w:val="0"/>
            <w:u w:color="181818"/>
            <w:lang w:val="en-US"/>
          </w:rPr>
          <w:t xml:space="preserve"> 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on post-Brexit migration and the need to build consensus on migration reform.   </w:t>
      </w:r>
    </w:p>
    <w:p w14:paraId="419BED94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15F620AF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Devolution and Exiting the EU: reconciling differences and building strong relationships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1E508BDA" w14:textId="6A8508C5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31st July, the Public Administration and Constitutional Affairs Select Committee published a </w:t>
      </w:r>
      <w:hyperlink r:id="rId11" w:history="1">
        <w:r w:rsidRPr="002B39E3">
          <w:rPr>
            <w:rStyle w:val="Hyperlink"/>
            <w:rFonts w:ascii="Calibri" w:hAnsi="Calibri" w:cs="Helvetica"/>
            <w:noProof w:val="0"/>
            <w:u w:color="2699D7"/>
            <w:lang w:val="en-US"/>
          </w:rPr>
          <w:t>report</w:t>
        </w:r>
        <w:r w:rsidRPr="002B39E3">
          <w:rPr>
            <w:rStyle w:val="Hyperlink"/>
            <w:rFonts w:ascii="Calibri" w:hAnsi="Calibri" w:cs="Helvetica"/>
            <w:noProof w:val="0"/>
            <w:u w:color="181818"/>
            <w:lang w:val="en-US"/>
          </w:rPr>
          <w:t xml:space="preserve"> 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calling on the government to set out a clear devolution policy for the Union after Brexit to build strong UK relationships.   </w:t>
      </w:r>
    </w:p>
    <w:p w14:paraId="1311FF77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348246D5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Brexit and the environment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04E4219D" w14:textId="157F6CF8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8th August, the House of Commons Library published a </w:t>
      </w:r>
      <w:hyperlink r:id="rId12" w:history="1"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briefing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discussing current environmental law and policy in the UK and in the devolved nations; preparations for Brexit and potential impacts of Brexit; and actions and proposals being taken at a domestic level for both the UK and each of the nations in the UK.   </w:t>
      </w:r>
    </w:p>
    <w:p w14:paraId="3EEA3B68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3AF5E78A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Framework for the UK-EU partnership: Financial Services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06C05C0C" w14:textId="5DC173C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20th August, DExEU published a </w:t>
      </w:r>
      <w:hyperlink r:id="rId13" w:history="1"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presentation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setting out the UK’s proposals for financial services.   </w:t>
      </w:r>
    </w:p>
    <w:p w14:paraId="1C97F3B4" w14:textId="77777777" w:rsidR="00B83167" w:rsidRDefault="00B83167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</w:pPr>
    </w:p>
    <w:p w14:paraId="0C6D14D7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Helvetica"/>
          <w:noProof w:val="0"/>
          <w:color w:val="181818"/>
          <w:u w:color="181818"/>
          <w:lang w:val="en-US"/>
        </w:rPr>
      </w:pPr>
      <w:r w:rsidRPr="00B83167">
        <w:rPr>
          <w:rFonts w:ascii="Calibri" w:hAnsi="Calibri" w:cs="Helvetica"/>
          <w:b/>
          <w:bCs/>
          <w:noProof w:val="0"/>
          <w:color w:val="181818"/>
          <w:u w:val="single" w:color="181818"/>
          <w:lang w:val="en-US"/>
        </w:rPr>
        <w:t>Framework for the UK-EU partnership: Open and fair competition</w:t>
      </w: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> </w:t>
      </w:r>
    </w:p>
    <w:p w14:paraId="4FC5246B" w14:textId="335FE481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Calibri"/>
          <w:noProof w:val="0"/>
          <w:u w:color="181818"/>
          <w:lang w:val="en-US"/>
        </w:rPr>
      </w:pPr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On 20th August, DExEU published a </w:t>
      </w:r>
      <w:hyperlink r:id="rId14" w:history="1"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present</w:t>
        </w:r>
        <w:bookmarkStart w:id="0" w:name="_GoBack"/>
        <w:bookmarkEnd w:id="0"/>
        <w:r w:rsidRPr="00B83167">
          <w:rPr>
            <w:rFonts w:ascii="Calibri" w:hAnsi="Calibri" w:cs="Helvetica"/>
            <w:noProof w:val="0"/>
            <w:color w:val="2699D7"/>
            <w:u w:val="single" w:color="2699D7"/>
            <w:lang w:val="en-US"/>
          </w:rPr>
          <w:t>ation</w:t>
        </w:r>
      </w:hyperlink>
      <w:r w:rsidRPr="00B83167">
        <w:rPr>
          <w:rFonts w:ascii="Calibri" w:hAnsi="Calibri" w:cs="Helvetica"/>
          <w:noProof w:val="0"/>
          <w:color w:val="181818"/>
          <w:u w:color="181818"/>
          <w:lang w:val="en-US"/>
        </w:rPr>
        <w:t xml:space="preserve"> setting out the UK’s proposals for open and fair competition.</w:t>
      </w:r>
    </w:p>
    <w:p w14:paraId="5912EC12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Calibri"/>
          <w:noProof w:val="0"/>
          <w:u w:color="181818"/>
          <w:lang w:val="en-US"/>
        </w:rPr>
      </w:pPr>
      <w:r w:rsidRPr="00B83167">
        <w:rPr>
          <w:rFonts w:ascii="Calibri" w:hAnsi="Calibri" w:cs="Arial"/>
          <w:b/>
          <w:bCs/>
          <w:noProof w:val="0"/>
          <w:u w:color="181818"/>
          <w:lang w:val="en-US"/>
        </w:rPr>
        <w:t> </w:t>
      </w:r>
    </w:p>
    <w:p w14:paraId="45F74827" w14:textId="77777777" w:rsidR="00FF3974" w:rsidRPr="00B83167" w:rsidRDefault="00FF3974" w:rsidP="00FF3974">
      <w:pPr>
        <w:widowControl w:val="0"/>
        <w:autoSpaceDE w:val="0"/>
        <w:autoSpaceDN w:val="0"/>
        <w:adjustRightInd w:val="0"/>
        <w:rPr>
          <w:rFonts w:ascii="Calibri" w:hAnsi="Calibri" w:cs="Calibri"/>
          <w:noProof w:val="0"/>
          <w:u w:color="181818"/>
          <w:lang w:val="en-US"/>
        </w:rPr>
      </w:pPr>
      <w:r w:rsidRPr="00B83167">
        <w:rPr>
          <w:rFonts w:ascii="Calibri" w:hAnsi="Calibri" w:cs="Arial"/>
          <w:b/>
          <w:bCs/>
          <w:noProof w:val="0"/>
          <w:u w:color="181818"/>
          <w:lang w:val="en-US"/>
        </w:rPr>
        <w:t>Marco Dias</w:t>
      </w:r>
      <w:r w:rsidRPr="00B83167">
        <w:rPr>
          <w:rFonts w:ascii="Calibri" w:hAnsi="Calibri" w:cs="Arial"/>
          <w:noProof w:val="0"/>
          <w:u w:color="181818"/>
          <w:lang w:val="en-US"/>
        </w:rPr>
        <w:t> </w:t>
      </w:r>
    </w:p>
    <w:p w14:paraId="3A97E34C" w14:textId="77777777" w:rsidR="003E3133" w:rsidRPr="00B83167" w:rsidRDefault="00FF3974" w:rsidP="00FF3974">
      <w:pPr>
        <w:rPr>
          <w:rFonts w:ascii="Calibri" w:hAnsi="Calibri"/>
          <w:b/>
        </w:rPr>
      </w:pPr>
      <w:r w:rsidRPr="00B83167">
        <w:rPr>
          <w:rFonts w:ascii="Calibri" w:hAnsi="Calibri" w:cs="Arial"/>
          <w:b/>
          <w:noProof w:val="0"/>
          <w:u w:color="181818"/>
          <w:lang w:val="en-US"/>
        </w:rPr>
        <w:t>Buckinghamshire County Council</w:t>
      </w:r>
    </w:p>
    <w:sectPr w:rsidR="003E3133" w:rsidRPr="00B83167" w:rsidSect="002B39E3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74"/>
    <w:rsid w:val="002B39E3"/>
    <w:rsid w:val="003E3133"/>
    <w:rsid w:val="00AB2804"/>
    <w:rsid w:val="00B26493"/>
    <w:rsid w:val="00B8316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9B7C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va">
    <w:name w:val="Geneva"/>
    <w:basedOn w:val="Normal"/>
    <w:autoRedefine/>
    <w:qFormat/>
    <w:rsid w:val="00AB2804"/>
    <w:pPr>
      <w:widowControl w:val="0"/>
    </w:pPr>
    <w:rPr>
      <w:rFonts w:eastAsia="ヒラギノ角ゴ Pro W3" w:cs="Times New Roman"/>
      <w:color w:val="0000FF"/>
    </w:rPr>
  </w:style>
  <w:style w:type="character" w:styleId="Hyperlink">
    <w:name w:val="Hyperlink"/>
    <w:basedOn w:val="DefaultParagraphFont"/>
    <w:uiPriority w:val="99"/>
    <w:unhideWhenUsed/>
    <w:rsid w:val="002B39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9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va">
    <w:name w:val="Geneva"/>
    <w:basedOn w:val="Normal"/>
    <w:autoRedefine/>
    <w:qFormat/>
    <w:rsid w:val="00AB2804"/>
    <w:pPr>
      <w:widowControl w:val="0"/>
    </w:pPr>
    <w:rPr>
      <w:rFonts w:eastAsia="ヒラギノ角ゴ Pro W3" w:cs="Times New Roman"/>
      <w:color w:val="0000FF"/>
    </w:rPr>
  </w:style>
  <w:style w:type="character" w:styleId="Hyperlink">
    <w:name w:val="Hyperlink"/>
    <w:basedOn w:val="DefaultParagraphFont"/>
    <w:uiPriority w:val="99"/>
    <w:unhideWhenUsed/>
    <w:rsid w:val="002B39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arliament.uk/business/committees/committees-a-z/commons-select/public-administration-and-constitutional-affairs-committee/news-parliament-2017/devolution-brexit-report-published-17-19/" TargetMode="External"/><Relationship Id="rId12" Type="http://schemas.openxmlformats.org/officeDocument/2006/relationships/hyperlink" Target="https://researchbriefings.parliament.uk/ResearchBriefing/Summary/CBP-8132" TargetMode="External"/><Relationship Id="rId13" Type="http://schemas.openxmlformats.org/officeDocument/2006/relationships/hyperlink" Target="https://www.gov.uk/government/publications/framework-for-the-uk-eu-partnership-financial-services" TargetMode="External"/><Relationship Id="rId14" Type="http://schemas.openxmlformats.org/officeDocument/2006/relationships/hyperlink" Target="https://www.gov.uk/government/publications/framework-for-the-uk-eu-partnership-open-and-fair-competition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ssets.publishing.service.gov.uk/government/uploads/system/uploads/attachment_data/file/725288/The_future_relationship_between_the_United_Kingdom_and_the_European_Union.pdf" TargetMode="External"/><Relationship Id="rId6" Type="http://schemas.openxmlformats.org/officeDocument/2006/relationships/hyperlink" Target="https://www.gov.uk/government/collections/how-to-prepare-if-the-uk-leaves-the-eu-with-no-deal" TargetMode="External"/><Relationship Id="rId7" Type="http://schemas.openxmlformats.org/officeDocument/2006/relationships/hyperlink" Target="https://www.gov.uk/government/publications/eu-settlement-scheme-employer-toolkit" TargetMode="External"/><Relationship Id="rId8" Type="http://schemas.openxmlformats.org/officeDocument/2006/relationships/hyperlink" Target="https://www.local.gov.uk/parliament/briefings-and-responses/no-deal-and-local-government-briefing-august-2018" TargetMode="External"/><Relationship Id="rId9" Type="http://schemas.openxmlformats.org/officeDocument/2006/relationships/hyperlink" Target="https://researchbriefings.parliament.uk/ResearchBriefing/Summary/CBP-8375" TargetMode="External"/><Relationship Id="rId10" Type="http://schemas.openxmlformats.org/officeDocument/2006/relationships/hyperlink" Target="https://www.parliament.uk/business/committees/committees-a-z/commons-select/home-affairs-committee/news-parliament-2017/post-brexit-migration-report-published-17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616</Words>
  <Characters>3512</Characters>
  <Application>Microsoft Macintosh Word</Application>
  <DocSecurity>0</DocSecurity>
  <Lines>29</Lines>
  <Paragraphs>8</Paragraphs>
  <ScaleCrop>false</ScaleCrop>
  <Company>Bus Users UK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Parkins</dc:creator>
  <cp:keywords/>
  <dc:description/>
  <cp:lastModifiedBy>Nicola Parkins</cp:lastModifiedBy>
  <cp:revision>4</cp:revision>
  <dcterms:created xsi:type="dcterms:W3CDTF">2018-09-03T10:04:00Z</dcterms:created>
  <dcterms:modified xsi:type="dcterms:W3CDTF">2018-09-03T10:16:00Z</dcterms:modified>
</cp:coreProperties>
</file>